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</w:pPr>
    </w:p>
    <w:p>
      <w:pPr>
        <w:pStyle w:val="Default"/>
      </w:pPr>
    </w:p>
    <w:p>
      <w:pPr>
        <w:pStyle w:val="Default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Змај ће остати запамћен као оснивач српске књижевности за децу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његов значај простире се и у оквире светске књижевности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Својим разумевањем дечје психологије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Змај ствара песнички свет по дечјој мери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весео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маштовит и духовит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 у тим наизглед наивним песмицама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крије се порука која децу учи правим 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976947</wp:posOffset>
                </wp:positionH>
                <wp:positionV relativeFrom="page">
                  <wp:posOffset>720090</wp:posOffset>
                </wp:positionV>
                <wp:extent cx="5608955" cy="224651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22465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823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2043"/>
                              <w:gridCol w:w="6780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546" w:hRule="atLeast"/>
                              </w:trPr>
                              <w:tc>
                                <w:tcPr>
                                  <w:tcW w:type="dxa" w:w="204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spacing w:before="0" w:after="0"/>
                                    <w:ind w:left="0" w:right="0" w:firstLine="0"/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297306" cy="1649338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Unknown-1.jpe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rcRect l="0" t="0" r="0" b="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7306" cy="16493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67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Default"/>
                                    <w:rPr>
                                      <w:b w:val="1"/>
                                      <w:bCs w:val="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32"/>
                                      <w:szCs w:val="32"/>
                                      <w:rtl w:val="0"/>
                                    </w:rPr>
                                    <w:t>Јован Јовановић Змај АЛА ЈЕ ЛЕП ОВАЈ СВЕТ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6.9pt;margin-top:56.7pt;width:441.6pt;height:176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823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2043"/>
                        <w:gridCol w:w="6780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546" w:hRule="atLeast"/>
                        </w:trPr>
                        <w:tc>
                          <w:tcPr>
                            <w:tcW w:type="dxa" w:w="204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297306" cy="1649338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Unknown-1.jpe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rcRect l="0" t="0" r="0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306" cy="1649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67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Default"/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  <w:t>Јован Јовановић Змај АЛА ЈЕ ЛЕП ОВАЈ СВЕТ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28"/>
          <w:szCs w:val="28"/>
          <w:rtl w:val="0"/>
        </w:rPr>
        <w:t>вредностима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Змај кроз стихове прати децу од првих корака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упознаје их са породицом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природом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животињама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несташлуцима кроз које пролазе и незаборавним тренуцима детињства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Песме зраче љубављу према деци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топлином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брижношћу и ведрим духом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Овај избор песама намењен је најмлађима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</w:pPr>
      <w:r>
        <w:rPr>
          <w:sz w:val="28"/>
          <w:szCs w:val="28"/>
          <w:rtl w:val="0"/>
        </w:rPr>
        <w:t xml:space="preserve">За узраст до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>година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