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8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3"/>
        <w:gridCol w:w="6780"/>
      </w:tblGrid>
      <w:tr>
        <w:tblPrEx>
          <w:shd w:val="clear" w:color="auto" w:fill="ced7e7"/>
        </w:tblPrEx>
        <w:trPr>
          <w:trHeight w:val="3562" w:hRule="atLeast"/>
        </w:trPr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297306" cy="1949503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nknown.jpe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6" cy="194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kern w:val="24"/>
                <w:sz w:val="32"/>
                <w:szCs w:val="32"/>
                <w:u w:color="000000"/>
                <w:rtl w:val="0"/>
              </w:rPr>
              <w:t>Дејан Алексић ДУГМЕ БЕЗ КАПУТА</w:t>
            </w:r>
          </w:p>
        </w:tc>
      </w:tr>
    </w:tbl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„Дугме без капута“ је збирка песама за децу нашег познатог талентованог писца Дејана Алексића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Ове песме одликују се погледом на свет из необичног угла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чиме подстичу машту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Открићемо муке једног дугмета када изгуби свој капут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 xml:space="preserve">како се осећа зид када му укуцају ексер или тањир кад га опече врела супа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>и друге ружне ствари које чине сви ти фини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културни станари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 xml:space="preserve">прочитаћемо песму са говорном маном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чак и ако немамо говорну ману</w:t>
      </w:r>
      <w:r>
        <w:rPr>
          <w:sz w:val="28"/>
          <w:szCs w:val="28"/>
          <w:rtl w:val="0"/>
        </w:rPr>
        <w:t xml:space="preserve">); </w:t>
      </w:r>
      <w:r>
        <w:rPr>
          <w:sz w:val="28"/>
          <w:szCs w:val="28"/>
          <w:rtl w:val="0"/>
        </w:rPr>
        <w:t xml:space="preserve">видећемо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а можда и нећемо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невидљиву песму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док чекамо да незрела песма сазри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слушаћемо свађу једног пара ципела које су свашта прошле у животу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а ако се добро потрудимо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чућемо и ћутање врло и веома заљубљених гугутки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Све ове песме лепотом стихова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хумором и поуком допиру до дечјих срца</w:t>
      </w:r>
      <w:r>
        <w:rPr>
          <w:sz w:val="28"/>
          <w:szCs w:val="28"/>
          <w:rtl w:val="0"/>
        </w:rPr>
        <w:t>.</w:t>
      </w: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</w:pPr>
      <w:r>
        <w:rPr>
          <w:sz w:val="28"/>
          <w:szCs w:val="28"/>
          <w:rtl w:val="0"/>
        </w:rPr>
        <w:t xml:space="preserve">За узраст од </w:t>
      </w:r>
      <w:r>
        <w:rPr>
          <w:sz w:val="28"/>
          <w:szCs w:val="28"/>
          <w:rtl w:val="0"/>
        </w:rPr>
        <w:t xml:space="preserve">8 </w:t>
      </w:r>
      <w:r>
        <w:rPr>
          <w:sz w:val="28"/>
          <w:szCs w:val="28"/>
          <w:rtl w:val="0"/>
        </w:rPr>
        <w:t xml:space="preserve">до </w:t>
      </w:r>
      <w:r>
        <w:rPr>
          <w:sz w:val="28"/>
          <w:szCs w:val="28"/>
          <w:rtl w:val="0"/>
        </w:rPr>
        <w:t xml:space="preserve">11 </w:t>
      </w:r>
      <w:r>
        <w:rPr>
          <w:sz w:val="28"/>
          <w:szCs w:val="28"/>
          <w:rtl w:val="0"/>
        </w:rPr>
        <w:t>година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