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45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73"/>
        <w:gridCol w:w="6780"/>
      </w:tblGrid>
      <w:tr>
        <w:tblPrEx>
          <w:shd w:val="clear" w:color="auto" w:fill="ced7e7"/>
        </w:tblPrEx>
        <w:trPr>
          <w:trHeight w:val="1955" w:hRule="atLeast"/>
        </w:trPr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drawing>
                <wp:inline distT="0" distB="0" distL="0" distR="0">
                  <wp:extent cx="830133" cy="119634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140404225628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133" cy="11963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i w:val="0"/>
                <w:iCs w:val="0"/>
                <w:sz w:val="32"/>
                <w:szCs w:val="32"/>
                <w:rtl w:val="0"/>
              </w:rPr>
              <w:t>Жорж Санд</w:t>
            </w:r>
            <w:r>
              <w:rPr>
                <w:i w:val="0"/>
                <w:iCs w:val="0"/>
                <w:sz w:val="32"/>
                <w:szCs w:val="32"/>
                <w:rtl w:val="0"/>
              </w:rPr>
              <w:t xml:space="preserve">: </w:t>
            </w:r>
            <w:r>
              <w:rPr>
                <w:i w:val="0"/>
                <w:iCs w:val="0"/>
                <w:sz w:val="32"/>
                <w:szCs w:val="32"/>
                <w:rtl w:val="0"/>
              </w:rPr>
              <w:t>КРАЉИЦА КВАК</w:t>
              <w:tab/>
              <w:tab/>
            </w:r>
          </w:p>
        </w:tc>
      </w:tr>
    </w:tbl>
    <w:p>
      <w:pPr>
        <w:pStyle w:val="Normal.0"/>
        <w:widowControl w:val="0"/>
      </w:pPr>
    </w:p>
    <w:p>
      <w:pPr>
        <w:pStyle w:val="Normal.0"/>
        <w:jc w:val="both"/>
        <w:rPr>
          <w:i w:val="0"/>
          <w:iCs w:val="0"/>
        </w:rPr>
      </w:pPr>
      <w:r>
        <w:rPr>
          <w:i w:val="0"/>
          <w:iCs w:val="0"/>
        </w:rPr>
        <w:tab/>
      </w:r>
    </w:p>
    <w:p>
      <w:pPr>
        <w:pStyle w:val="Body Text"/>
        <w:rPr>
          <w:i w:val="0"/>
          <w:iCs w:val="0"/>
        </w:rPr>
      </w:pPr>
      <w:r>
        <w:rPr>
          <w:i w:val="0"/>
          <w:iCs w:val="0"/>
        </w:rPr>
        <w:tab/>
      </w:r>
    </w:p>
    <w:p>
      <w:pPr>
        <w:pStyle w:val="Normal.0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  <w:rtl w:val="0"/>
        </w:rPr>
        <w:t>У једном великом дворцу у Нормандији или Пикардији почиње слојевита радња бајке о сазревању и одрастању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.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Необичан след дешавања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баш како то бива у свакој бајци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научиће девојчицу Маргариту да » на овом свету постоји само једна ствар која нас може учинити лепшим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: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заслужена срећа</w:t>
      </w:r>
      <w:r>
        <w:rPr>
          <w:b w:val="0"/>
          <w:bCs w:val="0"/>
          <w:i w:val="0"/>
          <w:iCs w:val="0"/>
          <w:sz w:val="28"/>
          <w:szCs w:val="28"/>
          <w:rtl w:val="0"/>
        </w:rPr>
        <w:t>.</w:t>
      </w:r>
      <w:r>
        <w:rPr>
          <w:b w:val="0"/>
          <w:bCs w:val="0"/>
          <w:i w:val="0"/>
          <w:iCs w:val="0"/>
          <w:sz w:val="28"/>
          <w:szCs w:val="28"/>
          <w:rtl w:val="0"/>
        </w:rPr>
        <w:t>«</w:t>
      </w:r>
    </w:p>
    <w:p>
      <w:pPr>
        <w:pStyle w:val="Normal.0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  <w:rtl w:val="0"/>
        </w:rPr>
        <w:tab/>
        <w:t>Пут самоспознаје и самосагледавања почиње одлуком девојчице да канале претвори у здраву природу и тиме искорени узрочнике бројних болести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.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Окружење богатог света флоре и фауне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као и изненадна посета рођака Пиперса извући ће Маргариту из окриља своје баке и упутити је на краљицу жабљег света Квак</w:t>
      </w:r>
      <w:r>
        <w:rPr>
          <w:b w:val="0"/>
          <w:bCs w:val="0"/>
          <w:i w:val="0"/>
          <w:iCs w:val="0"/>
          <w:sz w:val="28"/>
          <w:szCs w:val="28"/>
          <w:rtl w:val="0"/>
        </w:rPr>
        <w:t>.</w:t>
      </w:r>
    </w:p>
    <w:p>
      <w:pPr>
        <w:pStyle w:val="Normal.0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  <w:rtl w:val="0"/>
        </w:rPr>
        <w:tab/>
        <w:t>Занимљив сусрет са краљицом Квак и динамична драмска догађања одиграна на ивици мочваре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као и ненадана појава лабуда Невеа помоћи ће Маргарити да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проникнувши у давно одиграну љубавну причу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на прави начин упозна свет опсена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лицемерја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мржње и лажи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.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Повратак бакином дворцу и склапање коцкица необичног животног мозаика подсетиће је на речи лабуда који лети у правцу Сунца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: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» Удај се само за оног који те воли такву каква јеси</w:t>
      </w:r>
      <w:r>
        <w:rPr>
          <w:b w:val="0"/>
          <w:bCs w:val="0"/>
          <w:i w:val="0"/>
          <w:iCs w:val="0"/>
          <w:sz w:val="28"/>
          <w:szCs w:val="28"/>
          <w:rtl w:val="0"/>
        </w:rPr>
        <w:t>.</w:t>
      </w:r>
      <w:r>
        <w:rPr>
          <w:b w:val="0"/>
          <w:bCs w:val="0"/>
          <w:i w:val="0"/>
          <w:iCs w:val="0"/>
          <w:sz w:val="28"/>
          <w:szCs w:val="28"/>
          <w:rtl w:val="0"/>
        </w:rPr>
        <w:t>«</w:t>
      </w:r>
    </w:p>
    <w:p>
      <w:pPr>
        <w:pStyle w:val="Normal.0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  <w:rtl w:val="0"/>
        </w:rPr>
        <w:tab/>
        <w:t>Богата нарација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метаморфоза ликова и нетипичан крај чине ову бајку другачијом од осталих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.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Отвореност завршних речи и могућност самосталног одбира пута који води личној срећи помоћи ће читаоцу да романтику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која је одраз овог дела и  одраз сваког квалитетног живота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установи за звезду водиљу</w:t>
      </w:r>
      <w:r>
        <w:rPr>
          <w:b w:val="0"/>
          <w:bCs w:val="0"/>
          <w:i w:val="0"/>
          <w:iCs w:val="0"/>
          <w:sz w:val="28"/>
          <w:szCs w:val="28"/>
          <w:rtl w:val="0"/>
        </w:rPr>
        <w:t>.</w:t>
      </w:r>
    </w:p>
    <w:p>
      <w:pPr>
        <w:pStyle w:val="Normal.0"/>
        <w:jc w:val="both"/>
      </w:pPr>
      <w:r>
        <w:rPr>
          <w:b w:val="0"/>
          <w:bCs w:val="0"/>
          <w:i w:val="0"/>
          <w:iCs w:val="0"/>
          <w:sz w:val="28"/>
          <w:szCs w:val="28"/>
          <w:rtl w:val="0"/>
        </w:rPr>
        <w:tab/>
        <w:t xml:space="preserve">Књига за децу од </w:t>
      </w:r>
      <w:r>
        <w:rPr>
          <w:b w:val="0"/>
          <w:bCs w:val="0"/>
          <w:i w:val="0"/>
          <w:iCs w:val="0"/>
          <w:sz w:val="28"/>
          <w:szCs w:val="28"/>
          <w:rtl w:val="0"/>
        </w:rPr>
        <w:t xml:space="preserve">10-15 </w:t>
      </w:r>
      <w:r>
        <w:rPr>
          <w:b w:val="0"/>
          <w:bCs w:val="0"/>
          <w:i w:val="0"/>
          <w:iCs w:val="0"/>
          <w:sz w:val="28"/>
          <w:szCs w:val="28"/>
          <w:rtl w:val="0"/>
        </w:rPr>
        <w:t>година</w:t>
      </w:r>
      <w:r>
        <w:rPr>
          <w:b w:val="0"/>
          <w:bCs w:val="0"/>
          <w:i w:val="0"/>
          <w:iCs w:val="0"/>
          <w:sz w:val="28"/>
          <w:szCs w:val="28"/>
          <w:rtl w:val="0"/>
        </w:rPr>
        <w:t>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4"/>
      <w:szCs w:val="24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